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28" w:rsidRPr="00FC6A73" w:rsidRDefault="005D5028" w:rsidP="004B1AC6">
      <w:pPr>
        <w:pStyle w:val="a3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D5028" w:rsidRPr="00CB7226" w:rsidRDefault="005D5028" w:rsidP="00CB7226">
      <w:pPr>
        <w:pStyle w:val="a3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r w:rsidRPr="00CB7226">
        <w:rPr>
          <w:rFonts w:ascii="Times New Roman" w:hAnsi="Times New Roman"/>
          <w:b/>
          <w:sz w:val="28"/>
          <w:szCs w:val="24"/>
          <w:lang w:val="en-US"/>
        </w:rPr>
        <w:t>Regulament</w:t>
      </w:r>
      <w:proofErr w:type="spellEnd"/>
    </w:p>
    <w:p w:rsidR="005D5028" w:rsidRPr="00CB7226" w:rsidRDefault="00CB7226" w:rsidP="00CB7226">
      <w:pPr>
        <w:pStyle w:val="a3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c</w:t>
      </w:r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>u</w:t>
      </w:r>
      <w:proofErr w:type="gramEnd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>privire</w:t>
      </w:r>
      <w:proofErr w:type="spellEnd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 xml:space="preserve"> la </w:t>
      </w:r>
      <w:proofErr w:type="spellStart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>stabilirea</w:t>
      </w:r>
      <w:proofErr w:type="spellEnd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>taxelor</w:t>
      </w:r>
      <w:proofErr w:type="spellEnd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 xml:space="preserve"> locale </w:t>
      </w:r>
      <w:proofErr w:type="spellStart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>pe</w:t>
      </w:r>
      <w:proofErr w:type="spellEnd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5D5028" w:rsidRPr="00CB7226">
        <w:rPr>
          <w:rFonts w:ascii="Times New Roman" w:hAnsi="Times New Roman"/>
          <w:b/>
          <w:sz w:val="28"/>
          <w:szCs w:val="24"/>
          <w:lang w:val="en-US"/>
        </w:rPr>
        <w:t>teritoriul</w:t>
      </w:r>
      <w:proofErr w:type="spellEnd"/>
    </w:p>
    <w:p w:rsidR="005D5028" w:rsidRPr="00CB7226" w:rsidRDefault="00CB7226" w:rsidP="00CB7226">
      <w:pPr>
        <w:pStyle w:val="a3"/>
        <w:jc w:val="center"/>
        <w:rPr>
          <w:rFonts w:ascii="Times New Roman" w:hAnsi="Times New Roman"/>
          <w:b/>
          <w:sz w:val="28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comunei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B407EA" w:rsidRPr="00CB722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B407EA" w:rsidRPr="00CB7226">
        <w:rPr>
          <w:rFonts w:ascii="Times New Roman" w:hAnsi="Times New Roman"/>
          <w:b/>
          <w:sz w:val="28"/>
          <w:szCs w:val="24"/>
          <w:lang w:val="en-US"/>
        </w:rPr>
        <w:t>Sîngereii</w:t>
      </w:r>
      <w:proofErr w:type="spellEnd"/>
      <w:proofErr w:type="gramEnd"/>
      <w:r w:rsidR="00B407EA" w:rsidRPr="00CB722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B407EA" w:rsidRPr="00CB7226">
        <w:rPr>
          <w:rFonts w:ascii="Times New Roman" w:hAnsi="Times New Roman"/>
          <w:b/>
          <w:sz w:val="28"/>
          <w:szCs w:val="24"/>
          <w:lang w:val="en-US"/>
        </w:rPr>
        <w:t>Noi</w:t>
      </w:r>
      <w:proofErr w:type="spellEnd"/>
      <w:r w:rsidR="00B407EA" w:rsidRPr="00CB7226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:rsidR="005D5028" w:rsidRPr="00FC6A73" w:rsidRDefault="005D5028" w:rsidP="004B1AC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CB7226" w:rsidRDefault="005D5028" w:rsidP="00CB722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7226">
        <w:rPr>
          <w:rFonts w:ascii="Times New Roman" w:hAnsi="Times New Roman"/>
          <w:b/>
          <w:sz w:val="24"/>
          <w:szCs w:val="24"/>
          <w:lang w:val="en-US"/>
        </w:rPr>
        <w:t>CAPITOLUL  I</w:t>
      </w:r>
      <w:proofErr w:type="gramEnd"/>
    </w:p>
    <w:p w:rsidR="005D5028" w:rsidRPr="00CB7226" w:rsidRDefault="005D5028" w:rsidP="00CB722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5028" w:rsidRPr="00CB7226" w:rsidRDefault="005D5028" w:rsidP="00CB722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Dispozi</w:t>
      </w:r>
      <w:r w:rsidR="00B407EA" w:rsidRPr="00CB7226">
        <w:rPr>
          <w:rFonts w:ascii="Times New Roman" w:hAnsi="Times New Roman"/>
          <w:b/>
          <w:sz w:val="24"/>
          <w:szCs w:val="24"/>
          <w:lang w:val="en-US"/>
        </w:rPr>
        <w:t>ţ</w:t>
      </w:r>
      <w:r w:rsidRPr="00CB7226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generale</w:t>
      </w:r>
      <w:proofErr w:type="spellEnd"/>
    </w:p>
    <w:p w:rsidR="005D5028" w:rsidRPr="00FC6A73" w:rsidRDefault="005D5028" w:rsidP="004B1AC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FC6A73" w:rsidRDefault="004B1AC6" w:rsidP="004B1AC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FC6A73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Prezentul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regulament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D5028" w:rsidRPr="00FC6A73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proofErr w:type="gram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elaborate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Titlului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VII al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Codului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Fiscal nr.93-X</w:t>
      </w:r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V din 01.04.2004,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modificările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completările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emise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lege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nr.155-XVI din 21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iulie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2005.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Preze</w:t>
      </w:r>
      <w:r w:rsidR="00B407EA" w:rsidRPr="00FC6A73">
        <w:rPr>
          <w:rFonts w:ascii="Times New Roman" w:hAnsi="Times New Roman"/>
          <w:sz w:val="24"/>
          <w:szCs w:val="24"/>
          <w:lang w:val="en-US"/>
        </w:rPr>
        <w:t>ntul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Titlu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determină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procedura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prin</w:t>
      </w:r>
      <w:r w:rsidR="00B407EA" w:rsidRPr="00FC6A73">
        <w:rPr>
          <w:rFonts w:ascii="Times New Roman" w:hAnsi="Times New Roman"/>
          <w:sz w:val="24"/>
          <w:szCs w:val="24"/>
          <w:lang w:val="en-US"/>
        </w:rPr>
        <w:t>cipiile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stabilirii</w:t>
      </w:r>
      <w:proofErr w:type="gramStart"/>
      <w:r w:rsidR="00B407EA" w:rsidRPr="00FC6A73">
        <w:rPr>
          <w:rFonts w:ascii="Times New Roman" w:hAnsi="Times New Roman"/>
          <w:sz w:val="24"/>
          <w:szCs w:val="24"/>
          <w:lang w:val="en-US"/>
        </w:rPr>
        <w:t>,modificării</w:t>
      </w:r>
      <w:proofErr w:type="spellEnd"/>
      <w:proofErr w:type="gram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anulării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taxelor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locale,modul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plată,cotele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maxime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primăriei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stabilesc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următoarele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obligatorii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:</w:t>
      </w:r>
    </w:p>
    <w:p w:rsidR="005D5028" w:rsidRPr="00FC6A73" w:rsidRDefault="005D5028" w:rsidP="004B1A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amenajarea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teritoriului</w:t>
      </w:r>
      <w:proofErr w:type="spellEnd"/>
    </w:p>
    <w:p w:rsidR="005D5028" w:rsidRPr="00FC6A73" w:rsidRDefault="00B407EA" w:rsidP="004B1A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publicităţ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</w:p>
    <w:p w:rsidR="005D5028" w:rsidRPr="00FC6A73" w:rsidRDefault="00B407EA" w:rsidP="004B1A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socială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CB7226" w:rsidRDefault="005D5028" w:rsidP="00CB722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7226">
        <w:rPr>
          <w:rFonts w:ascii="Times New Roman" w:hAnsi="Times New Roman"/>
          <w:b/>
          <w:sz w:val="24"/>
          <w:szCs w:val="24"/>
          <w:lang w:val="en-US"/>
        </w:rPr>
        <w:t>CAPITOLUL   II</w:t>
      </w:r>
    </w:p>
    <w:p w:rsidR="005D5028" w:rsidRPr="00FC6A73" w:rsidRDefault="005D5028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FC6A73" w:rsidRDefault="00B407EA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Subiecţii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impunerii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imposibilă</w:t>
      </w:r>
      <w:proofErr w:type="spellEnd"/>
    </w:p>
    <w:p w:rsidR="005D5028" w:rsidRPr="00FC6A73" w:rsidRDefault="00B407EA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Subiecţ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impunerii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sînt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:</w:t>
      </w:r>
    </w:p>
    <w:p w:rsidR="005D5028" w:rsidRPr="00FC6A73" w:rsidRDefault="005D5028" w:rsidP="004B1AC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amenajarea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teritoriului-persoanele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juridice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fizice,înregistrate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calitate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întreprinzător,care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dispun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bază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imposibilă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B407EA" w:rsidP="004B1AC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publicităţ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ii-persoanele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juridice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fizice,înregistrate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calitate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întreprinzător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:</w:t>
      </w:r>
    </w:p>
    <w:p w:rsidR="005D5028" w:rsidRPr="00FC6A73" w:rsidRDefault="00B407EA" w:rsidP="004B1AC6">
      <w:pPr>
        <w:pStyle w:val="a3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 w:rsidRPr="00FC6A73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proprietari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afişe</w:t>
      </w:r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,pancarte,panouri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panouri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mijloace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publicităţ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exterioare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B407EA" w:rsidP="004B1AC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taxe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socială-persoanelor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juridice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fizice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înregistrate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calitate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deîntr</w:t>
      </w:r>
      <w:r w:rsidRPr="00FC6A73">
        <w:rPr>
          <w:rFonts w:ascii="Times New Roman" w:hAnsi="Times New Roman"/>
          <w:sz w:val="24"/>
          <w:szCs w:val="24"/>
          <w:lang w:val="en-US"/>
        </w:rPr>
        <w:t>eprinzător,care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dispun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sociale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CB7226" w:rsidRDefault="005D5028" w:rsidP="00CB72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Baza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impozabilă</w:t>
      </w:r>
      <w:proofErr w:type="spellEnd"/>
    </w:p>
    <w:p w:rsidR="005D5028" w:rsidRPr="00FC6A73" w:rsidRDefault="005D5028" w:rsidP="004B1AC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Baza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impozabilă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constituie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la:</w:t>
      </w:r>
    </w:p>
    <w:p w:rsidR="005D5028" w:rsidRPr="00FC6A73" w:rsidRDefault="005D5028" w:rsidP="004B1AC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amenajarea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teritoriului-numărul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script</w:t>
      </w:r>
      <w:r w:rsidR="00B407EA" w:rsidRPr="00FC6A73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trimestrial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salariaţilor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ş</w:t>
      </w:r>
      <w:r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fondatori</w:t>
      </w:r>
      <w:r w:rsidR="00B407EA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întreprinderilor</w:t>
      </w:r>
      <w:proofErr w:type="spellEnd"/>
      <w:proofErr w:type="gram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aceş</w:t>
      </w:r>
      <w:r w:rsidRPr="00FC6A73">
        <w:rPr>
          <w:rFonts w:ascii="Times New Roman" w:hAnsi="Times New Roman"/>
          <w:sz w:val="24"/>
          <w:szCs w:val="24"/>
          <w:lang w:val="en-US"/>
        </w:rPr>
        <w:t>tea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activiază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întreprinde</w:t>
      </w:r>
      <w:r w:rsidR="00F6604F" w:rsidRPr="00FC6A73">
        <w:rPr>
          <w:rFonts w:ascii="Times New Roman" w:hAnsi="Times New Roman"/>
          <w:sz w:val="24"/>
          <w:szCs w:val="24"/>
          <w:lang w:val="en-US"/>
        </w:rPr>
        <w:t>rile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fondate,însă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sunt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incluş</w:t>
      </w:r>
      <w:r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</w:t>
      </w:r>
      <w:r w:rsidR="00F6604F" w:rsidRPr="00FC6A73">
        <w:rPr>
          <w:rFonts w:ascii="Times New Roman" w:hAnsi="Times New Roman"/>
          <w:sz w:val="24"/>
          <w:szCs w:val="24"/>
          <w:lang w:val="en-US"/>
        </w:rPr>
        <w:t>fectivul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trimestrial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salariaţ</w:t>
      </w:r>
      <w:r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F6604F" w:rsidP="004B1AC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publicităţii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excepţ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celei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amplasate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4B1AC6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</w:t>
      </w:r>
      <w:r w:rsidR="004B1AC6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1AC6" w:rsidRPr="00FC6A73">
        <w:rPr>
          <w:rFonts w:ascii="Times New Roman" w:hAnsi="Times New Roman"/>
          <w:sz w:val="24"/>
          <w:szCs w:val="24"/>
          <w:lang w:val="en-US"/>
        </w:rPr>
        <w:t>protecti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drumurilor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:</w:t>
      </w:r>
    </w:p>
    <w:p w:rsidR="005D5028" w:rsidRPr="00FC6A73" w:rsidRDefault="005D5028" w:rsidP="004B1AC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numărul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exterioară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afişe,pancarte,panourişi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mijloace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5D5028" w:rsidRPr="00FC6A73" w:rsidRDefault="00F6604F" w:rsidP="004B1AC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socială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, cu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exceptia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celor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află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protecţ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dr</w:t>
      </w:r>
      <w:r w:rsidRPr="00FC6A73">
        <w:rPr>
          <w:rFonts w:ascii="Times New Roman" w:hAnsi="Times New Roman"/>
          <w:sz w:val="24"/>
          <w:szCs w:val="24"/>
          <w:lang w:val="en-US"/>
        </w:rPr>
        <w:t>umurilor-suprafaţa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ocupată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lastRenderedPageBreak/>
        <w:t>unitate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comerţ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socială,amplasarea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lor,tipul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mărfurilor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desfăcute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serviciilor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prestate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CB7226" w:rsidRDefault="005D5028" w:rsidP="00CB722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7226">
        <w:rPr>
          <w:rFonts w:ascii="Times New Roman" w:hAnsi="Times New Roman"/>
          <w:b/>
          <w:sz w:val="24"/>
          <w:szCs w:val="24"/>
          <w:lang w:val="en-US"/>
        </w:rPr>
        <w:t>CAPITOLUL  III</w:t>
      </w:r>
      <w:proofErr w:type="gramEnd"/>
    </w:p>
    <w:p w:rsidR="005D5028" w:rsidRPr="00CB7226" w:rsidRDefault="005D5028" w:rsidP="00CB7226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Cotele</w:t>
      </w:r>
      <w:proofErr w:type="gramStart"/>
      <w:r w:rsidRPr="00CB7226">
        <w:rPr>
          <w:rFonts w:ascii="Times New Roman" w:hAnsi="Times New Roman"/>
          <w:b/>
          <w:sz w:val="24"/>
          <w:szCs w:val="24"/>
          <w:lang w:val="en-US"/>
        </w:rPr>
        <w:t>,modul</w:t>
      </w:r>
      <w:proofErr w:type="spellEnd"/>
      <w:proofErr w:type="gram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calculare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plată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a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taxelor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locale.</w:t>
      </w:r>
    </w:p>
    <w:p w:rsidR="005D5028" w:rsidRPr="00FC6A73" w:rsidRDefault="005D5028" w:rsidP="004B1AC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FC6A73" w:rsidRDefault="005D5028" w:rsidP="004B1AC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amenajarea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teritoriului-80 lei</w:t>
      </w:r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an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salariat</w:t>
      </w:r>
      <w:proofErr w:type="spellEnd"/>
      <w:r w:rsidR="00B407EA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407EA" w:rsidRPr="00FC6A73">
        <w:rPr>
          <w:rFonts w:ascii="Times New Roman" w:hAnsi="Times New Roman"/>
          <w:sz w:val="24"/>
          <w:szCs w:val="24"/>
          <w:lang w:val="en-US"/>
        </w:rPr>
        <w:t>ş</w:t>
      </w:r>
      <w:r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fondator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într</w:t>
      </w:r>
      <w:r w:rsidR="00F6604F" w:rsidRPr="00FC6A73">
        <w:rPr>
          <w:rFonts w:ascii="Times New Roman" w:hAnsi="Times New Roman"/>
          <w:sz w:val="24"/>
          <w:szCs w:val="24"/>
          <w:lang w:val="en-US"/>
        </w:rPr>
        <w:t>eprinderii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cazul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aceş</w:t>
      </w:r>
      <w:r w:rsidRPr="00FC6A73">
        <w:rPr>
          <w:rFonts w:ascii="Times New Roman" w:hAnsi="Times New Roman"/>
          <w:sz w:val="24"/>
          <w:szCs w:val="24"/>
          <w:lang w:val="en-US"/>
        </w:rPr>
        <w:t>tia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activiază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întreprinde</w:t>
      </w:r>
      <w:r w:rsidR="00F6604F" w:rsidRPr="00FC6A73">
        <w:rPr>
          <w:rFonts w:ascii="Times New Roman" w:hAnsi="Times New Roman"/>
          <w:sz w:val="24"/>
          <w:szCs w:val="24"/>
          <w:lang w:val="en-US"/>
        </w:rPr>
        <w:t>rea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fondată</w:t>
      </w:r>
      <w:proofErr w:type="gramStart"/>
      <w:r w:rsidR="00F6604F" w:rsidRPr="00FC6A73">
        <w:rPr>
          <w:rFonts w:ascii="Times New Roman" w:hAnsi="Times New Roman"/>
          <w:sz w:val="24"/>
          <w:szCs w:val="24"/>
          <w:lang w:val="en-US"/>
        </w:rPr>
        <w:t>,însă</w:t>
      </w:r>
      <w:proofErr w:type="spellEnd"/>
      <w:proofErr w:type="gram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nu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sunrt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incluş</w:t>
      </w:r>
      <w:r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</w:t>
      </w:r>
      <w:r w:rsidR="00F6604F" w:rsidRPr="00FC6A73">
        <w:rPr>
          <w:rFonts w:ascii="Times New Roman" w:hAnsi="Times New Roman"/>
          <w:sz w:val="24"/>
          <w:szCs w:val="24"/>
          <w:lang w:val="en-US"/>
        </w:rPr>
        <w:t>fectivul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trimestrial</w:t>
      </w:r>
      <w:proofErr w:type="spellEnd"/>
      <w:r w:rsidR="00F6604F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F6604F" w:rsidRPr="00FC6A73">
        <w:rPr>
          <w:rFonts w:ascii="Times New Roman" w:hAnsi="Times New Roman"/>
          <w:sz w:val="24"/>
          <w:szCs w:val="24"/>
          <w:lang w:val="en-US"/>
        </w:rPr>
        <w:t>salariaţ</w:t>
      </w:r>
      <w:r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F6604F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gospodăriile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ţărăneş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ti-20 lei.</w:t>
      </w:r>
      <w:proofErr w:type="gramEnd"/>
    </w:p>
    <w:p w:rsidR="005D5028" w:rsidRPr="00FC6A73" w:rsidRDefault="00F6604F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Subiecţ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impunerii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persoane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fizice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ju</w:t>
      </w:r>
      <w:r w:rsidRPr="00FC6A73">
        <w:rPr>
          <w:rFonts w:ascii="Times New Roman" w:hAnsi="Times New Roman"/>
          <w:sz w:val="24"/>
          <w:szCs w:val="24"/>
          <w:lang w:val="en-US"/>
        </w:rPr>
        <w:t>ridice</w:t>
      </w:r>
      <w:proofErr w:type="spellEnd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)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transferă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buget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darea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seamă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fiscal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trimestrial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pînă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ultima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lunii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imediat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următoarea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gest</w:t>
      </w:r>
      <w:r w:rsidRPr="00FC6A73">
        <w:rPr>
          <w:rFonts w:ascii="Times New Roman" w:hAnsi="Times New Roman"/>
          <w:sz w:val="24"/>
          <w:szCs w:val="24"/>
          <w:lang w:val="en-US"/>
        </w:rPr>
        <w:t>ionar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Perceptorul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impozite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taxe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locale din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primăriei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darea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seamă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varsă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buget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calculate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percepută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gospodăriile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ţărăneş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ti</w:t>
      </w:r>
      <w:proofErr w:type="gramStart"/>
      <w:r w:rsidR="005D5028" w:rsidRPr="00FC6A73">
        <w:rPr>
          <w:rFonts w:ascii="Times New Roman" w:hAnsi="Times New Roman"/>
          <w:sz w:val="24"/>
          <w:szCs w:val="24"/>
          <w:lang w:val="en-US"/>
        </w:rPr>
        <w:t>,trimestrial</w:t>
      </w:r>
      <w:proofErr w:type="spellEnd"/>
      <w:proofErr w:type="gram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pînă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ultima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lunii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imediat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următoare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gestionar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F6604F" w:rsidP="004B1AC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publicităţii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(cu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excepţ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celei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am</w:t>
      </w:r>
      <w:r w:rsidRPr="00FC6A73">
        <w:rPr>
          <w:rFonts w:ascii="Times New Roman" w:hAnsi="Times New Roman"/>
          <w:sz w:val="24"/>
          <w:szCs w:val="24"/>
          <w:lang w:val="en-US"/>
        </w:rPr>
        <w:t>plasate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protecţ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drumurilor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)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-500 lei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fiece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m.p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 (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afişe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pancarte</w:t>
      </w:r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,panouri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alte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mijloace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tehnice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).</w:t>
      </w:r>
    </w:p>
    <w:p w:rsidR="005D5028" w:rsidRPr="00FC6A73" w:rsidRDefault="00F6604F" w:rsidP="004B1AC6">
      <w:pPr>
        <w:pStyle w:val="a3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Termenul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plată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prezentare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dării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seamă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subiecţ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impunerii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trimestrial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pînă</w:t>
      </w:r>
      <w:proofErr w:type="spellEnd"/>
      <w:proofErr w:type="gram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ultima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lunii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imediat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următoare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gestionar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B407EA" w:rsidP="004B1AC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ile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socială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(cu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excepţ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află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total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zona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protecţie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drumurilor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).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Lipsa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unităţilor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comerţ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respective 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anexează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Subiecţ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impunerii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varsă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buget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</w:t>
      </w:r>
      <w:r w:rsidR="005D5028" w:rsidRPr="00FC6A73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darea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seamă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trimestrial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pînă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ultima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lunii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imediat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următoare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trimestrul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5028" w:rsidRPr="00FC6A73">
        <w:rPr>
          <w:rFonts w:ascii="Times New Roman" w:hAnsi="Times New Roman"/>
          <w:sz w:val="24"/>
          <w:szCs w:val="24"/>
          <w:lang w:val="en-US"/>
        </w:rPr>
        <w:t>gestionar</w:t>
      </w:r>
      <w:proofErr w:type="spellEnd"/>
      <w:r w:rsidR="005D5028"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CB7226" w:rsidRDefault="005D5028" w:rsidP="00CB72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Plata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taxelor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locale</w:t>
      </w:r>
    </w:p>
    <w:p w:rsidR="005D5028" w:rsidRPr="00FC6A73" w:rsidRDefault="005D5028" w:rsidP="004B1AC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Subiecţii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impunerii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plătesc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locale  la</w:t>
      </w:r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contul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trezorial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venituri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bugetului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administrative territorial.</w:t>
      </w:r>
    </w:p>
    <w:p w:rsidR="005D5028" w:rsidRPr="00FC6A73" w:rsidRDefault="005D5028" w:rsidP="004B1AC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Gospodăriile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ţărăneşti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(de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fermier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) pot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achita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amenajarea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organului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împuternicit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autoritatea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administraţiei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locale.</w:t>
      </w:r>
    </w:p>
    <w:p w:rsidR="005D5028" w:rsidRPr="00FC6A73" w:rsidRDefault="005D5028" w:rsidP="004B1A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CB7226" w:rsidRDefault="005D5028" w:rsidP="00CB722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CB7226">
        <w:rPr>
          <w:rFonts w:ascii="Times New Roman" w:hAnsi="Times New Roman"/>
          <w:b/>
          <w:sz w:val="24"/>
          <w:szCs w:val="24"/>
          <w:lang w:val="en-US"/>
        </w:rPr>
        <w:t>CAPITOLUL  IV</w:t>
      </w:r>
      <w:proofErr w:type="gramEnd"/>
    </w:p>
    <w:p w:rsidR="005D5028" w:rsidRPr="00CB7226" w:rsidRDefault="005D5028" w:rsidP="00CB7226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B7226">
        <w:rPr>
          <w:rFonts w:ascii="Times New Roman" w:hAnsi="Times New Roman"/>
          <w:sz w:val="24"/>
          <w:szCs w:val="24"/>
          <w:lang w:val="en-US"/>
        </w:rPr>
        <w:t>Înlesniri</w:t>
      </w:r>
      <w:proofErr w:type="spellEnd"/>
      <w:r w:rsidRPr="00CB722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B7226">
        <w:rPr>
          <w:rFonts w:ascii="Times New Roman" w:hAnsi="Times New Roman"/>
          <w:sz w:val="24"/>
          <w:szCs w:val="24"/>
          <w:lang w:val="en-US"/>
        </w:rPr>
        <w:t>plata</w:t>
      </w:r>
      <w:proofErr w:type="spellEnd"/>
      <w:r w:rsidRPr="00CB72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B7226">
        <w:rPr>
          <w:rFonts w:ascii="Times New Roman" w:hAnsi="Times New Roman"/>
          <w:sz w:val="24"/>
          <w:szCs w:val="24"/>
          <w:lang w:val="en-US"/>
        </w:rPr>
        <w:t>taxelor</w:t>
      </w:r>
      <w:proofErr w:type="spellEnd"/>
      <w:r w:rsidRPr="00CB7226">
        <w:rPr>
          <w:rFonts w:ascii="Times New Roman" w:hAnsi="Times New Roman"/>
          <w:sz w:val="24"/>
          <w:szCs w:val="24"/>
          <w:lang w:val="en-US"/>
        </w:rPr>
        <w:t xml:space="preserve"> locale.</w:t>
      </w:r>
      <w:proofErr w:type="gramEnd"/>
    </w:p>
    <w:p w:rsidR="005D5028" w:rsidRPr="00CB7226" w:rsidRDefault="005D5028" w:rsidP="004B1AC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B7226">
        <w:rPr>
          <w:rFonts w:ascii="Times New Roman" w:hAnsi="Times New Roman"/>
          <w:sz w:val="24"/>
          <w:szCs w:val="24"/>
          <w:lang w:val="en-US"/>
        </w:rPr>
        <w:t xml:space="preserve">Se </w:t>
      </w:r>
      <w:proofErr w:type="spellStart"/>
      <w:r w:rsidRPr="00CB7226">
        <w:rPr>
          <w:rFonts w:ascii="Times New Roman" w:hAnsi="Times New Roman"/>
          <w:sz w:val="24"/>
          <w:szCs w:val="24"/>
          <w:lang w:val="en-US"/>
        </w:rPr>
        <w:t>scutesc</w:t>
      </w:r>
      <w:proofErr w:type="spellEnd"/>
      <w:r w:rsidRPr="00CB722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B7226">
        <w:rPr>
          <w:rFonts w:ascii="Times New Roman" w:hAnsi="Times New Roman"/>
          <w:sz w:val="24"/>
          <w:szCs w:val="24"/>
          <w:lang w:val="en-US"/>
        </w:rPr>
        <w:t>plată</w:t>
      </w:r>
      <w:proofErr w:type="spellEnd"/>
    </w:p>
    <w:p w:rsidR="005D5028" w:rsidRPr="00FC6A73" w:rsidRDefault="005D5028" w:rsidP="004B1AC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tuturor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taxelor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locale+autorităţile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instituţiile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finanţate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la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bugetele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nivelurile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taxei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publicităţii-producătorii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difuzorii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publicitate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amplasată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poştale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lastRenderedPageBreak/>
        <w:t>Administraţia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public</w:t>
      </w:r>
      <w:r w:rsidR="00CB7226">
        <w:rPr>
          <w:rFonts w:ascii="Times New Roman" w:hAnsi="Times New Roman"/>
          <w:sz w:val="24"/>
          <w:szCs w:val="24"/>
          <w:lang w:val="en-US"/>
        </w:rPr>
        <w:t>ă</w:t>
      </w:r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locală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scuteşte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pensionarii</w:t>
      </w:r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,invalizi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persoanele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, ale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căror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gospodării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ţărăneşti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suprafaşa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mică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smartTag w:uri="urn:schemas-microsoft-com:office:smarttags" w:element="metricconverter">
        <w:smartTagPr>
          <w:attr w:name="ProductID" w:val="0,50 ha"/>
        </w:smartTagPr>
        <w:r w:rsidRPr="00FC6A73">
          <w:rPr>
            <w:rFonts w:ascii="Times New Roman" w:hAnsi="Times New Roman"/>
            <w:sz w:val="24"/>
            <w:szCs w:val="24"/>
            <w:lang w:val="en-US"/>
          </w:rPr>
          <w:t>0,50 ha</w:t>
        </w:r>
      </w:smartTag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comerciale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prestări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deservire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social –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persoanele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acordă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funebre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confecţionează,coroane,flori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false,ghirlande;organizaţiile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întreprinderile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cooperaţiei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consum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CB7226" w:rsidRDefault="005D5028" w:rsidP="004B1AC6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proofErr w:type="gramStart"/>
      <w:r w:rsidRPr="00CB7226">
        <w:rPr>
          <w:rFonts w:ascii="Times New Roman" w:hAnsi="Times New Roman"/>
          <w:b/>
          <w:sz w:val="24"/>
          <w:szCs w:val="24"/>
          <w:lang w:val="en-US"/>
        </w:rPr>
        <w:t>Administrarea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B7226">
        <w:rPr>
          <w:rFonts w:ascii="Times New Roman" w:hAnsi="Times New Roman"/>
          <w:b/>
          <w:sz w:val="24"/>
          <w:szCs w:val="24"/>
          <w:lang w:val="en-US"/>
        </w:rPr>
        <w:t>taxelor</w:t>
      </w:r>
      <w:proofErr w:type="spellEnd"/>
      <w:r w:rsidRPr="00CB7226">
        <w:rPr>
          <w:rFonts w:ascii="Times New Roman" w:hAnsi="Times New Roman"/>
          <w:b/>
          <w:sz w:val="24"/>
          <w:szCs w:val="24"/>
          <w:lang w:val="en-US"/>
        </w:rPr>
        <w:t xml:space="preserve"> locale.</w:t>
      </w:r>
      <w:proofErr w:type="gramEnd"/>
    </w:p>
    <w:p w:rsidR="005D5028" w:rsidRPr="00FC6A73" w:rsidRDefault="005D5028" w:rsidP="004B1AC6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D5028" w:rsidRPr="00FC6A73" w:rsidRDefault="005D5028" w:rsidP="004B1AC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 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aplică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, 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modifică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ori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anulează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autoritatea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public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locală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concomitant cu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adoptarea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modificarea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bugetului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unităţii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administrative-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teritoriale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Autoritatea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>executivă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 a</w:t>
      </w:r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administraţiei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monitorizează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deciziile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privind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aplicarea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taxelor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teritoriul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administrat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, 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Serviciului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fiscal de Stat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 le adduce la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cunoştinţă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contribuabililor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10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din data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adoptării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acestor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decizii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Inspectoratul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Fiscal de Stat territorial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execută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controlul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modului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autorităţile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administraţiei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FC6A73">
        <w:rPr>
          <w:rFonts w:ascii="Times New Roman" w:hAnsi="Times New Roman"/>
          <w:sz w:val="24"/>
          <w:szCs w:val="24"/>
          <w:lang w:val="en-US"/>
        </w:rPr>
        <w:t xml:space="preserve">locale 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proofErr w:type="gram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perceptorii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impozite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locale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execută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preyentul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regulament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>.</w:t>
      </w:r>
    </w:p>
    <w:p w:rsidR="005D5028" w:rsidRPr="00FC6A73" w:rsidRDefault="005D5028" w:rsidP="004B1AC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Taxele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netransferate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termenul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stabilit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sînt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percepute</w:t>
      </w:r>
      <w:proofErr w:type="spellEnd"/>
      <w:r w:rsidRPr="00FC6A73">
        <w:rPr>
          <w:rFonts w:ascii="Times New Roman" w:hAnsi="Times New Roman"/>
          <w:sz w:val="24"/>
          <w:szCs w:val="24"/>
          <w:lang w:val="en-US"/>
        </w:rPr>
        <w:t xml:space="preserve"> conform </w:t>
      </w:r>
      <w:proofErr w:type="spellStart"/>
      <w:r w:rsidRPr="00FC6A73">
        <w:rPr>
          <w:rFonts w:ascii="Times New Roman" w:hAnsi="Times New Roman"/>
          <w:sz w:val="24"/>
          <w:szCs w:val="24"/>
          <w:lang w:val="en-US"/>
        </w:rPr>
        <w:t>legislaţiei</w:t>
      </w:r>
      <w:proofErr w:type="spellEnd"/>
    </w:p>
    <w:p w:rsidR="005D5028" w:rsidRDefault="005D5028" w:rsidP="004B1A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784D" w:rsidRDefault="009E784D" w:rsidP="004B1A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9E784D" w:rsidRDefault="009E784D" w:rsidP="004B1AC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E784D" w:rsidSect="00F73B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6DA9"/>
    <w:multiLevelType w:val="hybridMultilevel"/>
    <w:tmpl w:val="B31EFA18"/>
    <w:lvl w:ilvl="0" w:tplc="1FBAA2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5E62E6"/>
    <w:multiLevelType w:val="hybridMultilevel"/>
    <w:tmpl w:val="40F0ABB8"/>
    <w:lvl w:ilvl="0" w:tplc="A4861FB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77947"/>
    <w:multiLevelType w:val="hybridMultilevel"/>
    <w:tmpl w:val="BA8E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9056A"/>
    <w:multiLevelType w:val="hybridMultilevel"/>
    <w:tmpl w:val="32149980"/>
    <w:lvl w:ilvl="0" w:tplc="5722478C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BF4523"/>
    <w:multiLevelType w:val="hybridMultilevel"/>
    <w:tmpl w:val="91BA2C04"/>
    <w:lvl w:ilvl="0" w:tplc="DB1C6F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ED71DC"/>
    <w:multiLevelType w:val="hybridMultilevel"/>
    <w:tmpl w:val="F086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33630"/>
    <w:multiLevelType w:val="hybridMultilevel"/>
    <w:tmpl w:val="E5A8F650"/>
    <w:lvl w:ilvl="0" w:tplc="98461F7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D673E70"/>
    <w:multiLevelType w:val="hybridMultilevel"/>
    <w:tmpl w:val="24D0B9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9F5D02"/>
    <w:multiLevelType w:val="hybridMultilevel"/>
    <w:tmpl w:val="BA4C79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3C627DB"/>
    <w:multiLevelType w:val="hybridMultilevel"/>
    <w:tmpl w:val="73A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25B79"/>
    <w:multiLevelType w:val="hybridMultilevel"/>
    <w:tmpl w:val="E2904A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415119"/>
    <w:multiLevelType w:val="hybridMultilevel"/>
    <w:tmpl w:val="6D6EA38C"/>
    <w:lvl w:ilvl="0" w:tplc="8AB025E0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C277CE0"/>
    <w:multiLevelType w:val="hybridMultilevel"/>
    <w:tmpl w:val="3C04D03E"/>
    <w:lvl w:ilvl="0" w:tplc="367811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1A0C78"/>
    <w:multiLevelType w:val="hybridMultilevel"/>
    <w:tmpl w:val="24AEA7B0"/>
    <w:lvl w:ilvl="0" w:tplc="6F1E2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BE358A"/>
    <w:multiLevelType w:val="hybridMultilevel"/>
    <w:tmpl w:val="521C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5E3F2E"/>
    <w:multiLevelType w:val="hybridMultilevel"/>
    <w:tmpl w:val="29E8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53E"/>
    <w:rsid w:val="0001378B"/>
    <w:rsid w:val="00045E24"/>
    <w:rsid w:val="00154A12"/>
    <w:rsid w:val="001D48D1"/>
    <w:rsid w:val="00360CCB"/>
    <w:rsid w:val="003A1EA5"/>
    <w:rsid w:val="00452A75"/>
    <w:rsid w:val="004B1AC6"/>
    <w:rsid w:val="004C3A88"/>
    <w:rsid w:val="00512B2B"/>
    <w:rsid w:val="005B0CF7"/>
    <w:rsid w:val="005C76D7"/>
    <w:rsid w:val="005D5028"/>
    <w:rsid w:val="005E7AE7"/>
    <w:rsid w:val="0065562B"/>
    <w:rsid w:val="00666A35"/>
    <w:rsid w:val="007F192F"/>
    <w:rsid w:val="00801565"/>
    <w:rsid w:val="00896C7C"/>
    <w:rsid w:val="008E353E"/>
    <w:rsid w:val="00915127"/>
    <w:rsid w:val="00943E33"/>
    <w:rsid w:val="009E784D"/>
    <w:rsid w:val="00A96EF0"/>
    <w:rsid w:val="00B13290"/>
    <w:rsid w:val="00B407EA"/>
    <w:rsid w:val="00B5739C"/>
    <w:rsid w:val="00B66FEC"/>
    <w:rsid w:val="00BE445F"/>
    <w:rsid w:val="00CB7226"/>
    <w:rsid w:val="00CF4611"/>
    <w:rsid w:val="00D62153"/>
    <w:rsid w:val="00D737F2"/>
    <w:rsid w:val="00E13AB9"/>
    <w:rsid w:val="00E2541E"/>
    <w:rsid w:val="00F137F4"/>
    <w:rsid w:val="00F17010"/>
    <w:rsid w:val="00F6604F"/>
    <w:rsid w:val="00F73BEF"/>
    <w:rsid w:val="00FC3693"/>
    <w:rsid w:val="00FC6A73"/>
    <w:rsid w:val="00FD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E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2013-04-16T12:44:00Z</cp:lastPrinted>
  <dcterms:created xsi:type="dcterms:W3CDTF">2012-01-05T20:31:00Z</dcterms:created>
  <dcterms:modified xsi:type="dcterms:W3CDTF">2021-07-07T12:46:00Z</dcterms:modified>
</cp:coreProperties>
</file>